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13" w:rsidRDefault="00273213" w:rsidP="003C6D41">
      <w:pPr>
        <w:spacing w:after="12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6B11F4" w:rsidRPr="006B11F4" w:rsidRDefault="006B11F4" w:rsidP="006B11F4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B11F4">
        <w:rPr>
          <w:rFonts w:ascii="Arial" w:hAnsi="Arial" w:cs="Arial"/>
          <w:b/>
          <w:sz w:val="40"/>
          <w:szCs w:val="40"/>
        </w:rPr>
        <w:t>Presseerklärung</w:t>
      </w:r>
    </w:p>
    <w:p w:rsidR="006B11F4" w:rsidRPr="005D19AE" w:rsidRDefault="005D19AE" w:rsidP="005D19AE">
      <w:pPr>
        <w:spacing w:after="120" w:line="240" w:lineRule="auto"/>
        <w:jc w:val="center"/>
        <w:rPr>
          <w:rFonts w:ascii="Arial" w:hAnsi="Arial" w:cs="Arial"/>
          <w:b/>
        </w:rPr>
      </w:pPr>
      <w:r w:rsidRPr="005D19AE">
        <w:rPr>
          <w:rFonts w:ascii="Arial" w:hAnsi="Arial" w:cs="Arial"/>
          <w:b/>
        </w:rPr>
        <w:t>02. Juni 2014</w:t>
      </w:r>
    </w:p>
    <w:p w:rsidR="006B11F4" w:rsidRDefault="006B11F4" w:rsidP="006B11F4">
      <w:pPr>
        <w:spacing w:after="120" w:line="240" w:lineRule="auto"/>
        <w:rPr>
          <w:rFonts w:ascii="Arial" w:hAnsi="Arial" w:cs="Arial"/>
        </w:rPr>
      </w:pPr>
    </w:p>
    <w:p w:rsidR="006B11F4" w:rsidRPr="005D19AE" w:rsidRDefault="005D19AE" w:rsidP="006B11F4">
      <w:pPr>
        <w:spacing w:after="120" w:line="240" w:lineRule="auto"/>
        <w:rPr>
          <w:rFonts w:ascii="Arial" w:hAnsi="Arial" w:cs="Arial"/>
          <w:sz w:val="40"/>
          <w:szCs w:val="40"/>
        </w:rPr>
      </w:pPr>
      <w:r w:rsidRPr="005D19AE">
        <w:rPr>
          <w:rFonts w:ascii="Arial" w:hAnsi="Arial" w:cs="Arial"/>
          <w:sz w:val="40"/>
          <w:szCs w:val="40"/>
        </w:rPr>
        <w:t>Der GDA-ORGAcheck</w:t>
      </w:r>
    </w:p>
    <w:p w:rsidR="005D19AE" w:rsidRPr="005D19AE" w:rsidRDefault="005D19AE" w:rsidP="006B11F4">
      <w:pPr>
        <w:spacing w:after="120" w:line="240" w:lineRule="auto"/>
        <w:rPr>
          <w:rFonts w:ascii="Arial" w:hAnsi="Arial" w:cs="Arial"/>
          <w:i/>
          <w:sz w:val="28"/>
          <w:szCs w:val="28"/>
        </w:rPr>
      </w:pPr>
      <w:r w:rsidRPr="005D19AE">
        <w:rPr>
          <w:rFonts w:ascii="Arial" w:hAnsi="Arial" w:cs="Arial"/>
          <w:i/>
          <w:sz w:val="28"/>
          <w:szCs w:val="28"/>
        </w:rPr>
        <w:t>Arbeitsschutz mit Methode zahlt sich aus</w:t>
      </w:r>
    </w:p>
    <w:p w:rsidR="005D19AE" w:rsidRDefault="000D6283" w:rsidP="006B11F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375646" cy="1311777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A_ORGAcheck_WortBi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039" cy="13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B72" w:rsidRDefault="00077B72" w:rsidP="00FD0A36">
      <w:pPr>
        <w:spacing w:after="120" w:line="240" w:lineRule="auto"/>
        <w:rPr>
          <w:rFonts w:ascii="Arial" w:hAnsi="Arial" w:cs="Arial"/>
        </w:rPr>
      </w:pPr>
    </w:p>
    <w:p w:rsidR="006B11F4" w:rsidRPr="006B11F4" w:rsidRDefault="005D19AE" w:rsidP="00FD0A3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Unternehmen können die</w:t>
      </w:r>
      <w:r w:rsidR="006B11F4" w:rsidRPr="006B11F4">
        <w:rPr>
          <w:rFonts w:ascii="Arial" w:hAnsi="Arial" w:cs="Arial"/>
        </w:rPr>
        <w:t xml:space="preserve"> Organisation des Ar</w:t>
      </w:r>
      <w:r>
        <w:rPr>
          <w:rFonts w:ascii="Arial" w:hAnsi="Arial" w:cs="Arial"/>
        </w:rPr>
        <w:t xml:space="preserve">beitsschutzes selbst überprüfen: </w:t>
      </w:r>
      <w:r w:rsidR="000D6283">
        <w:rPr>
          <w:rFonts w:ascii="Arial" w:hAnsi="Arial" w:cs="Arial"/>
        </w:rPr>
        <w:t>M</w:t>
      </w:r>
      <w:r>
        <w:rPr>
          <w:rFonts w:ascii="Arial" w:hAnsi="Arial" w:cs="Arial"/>
        </w:rPr>
        <w:t>it dem GDA-ORGAcheck. Mit dem Check können Unternehmen selber Schachstellen</w:t>
      </w:r>
      <w:r w:rsidR="000D6283">
        <w:rPr>
          <w:rFonts w:ascii="Arial" w:hAnsi="Arial" w:cs="Arial"/>
        </w:rPr>
        <w:t xml:space="preserve"> </w:t>
      </w:r>
      <w:r w:rsidR="009A71FA">
        <w:rPr>
          <w:rFonts w:ascii="Arial" w:hAnsi="Arial" w:cs="Arial"/>
        </w:rPr>
        <w:t xml:space="preserve">im Arbeitsschutz </w:t>
      </w:r>
      <w:r w:rsidR="000D6283">
        <w:rPr>
          <w:rFonts w:ascii="Arial" w:hAnsi="Arial" w:cs="Arial"/>
        </w:rPr>
        <w:t>erkennen und Verbesserungspro</w:t>
      </w:r>
      <w:r>
        <w:rPr>
          <w:rFonts w:ascii="Arial" w:hAnsi="Arial" w:cs="Arial"/>
        </w:rPr>
        <w:t xml:space="preserve">zesse einleiten. </w:t>
      </w:r>
      <w:r w:rsidR="0095390C">
        <w:rPr>
          <w:rFonts w:ascii="Arial" w:hAnsi="Arial" w:cs="Arial"/>
        </w:rPr>
        <w:t>Er</w:t>
      </w:r>
      <w:r w:rsidR="000D6283">
        <w:rPr>
          <w:rFonts w:ascii="Arial" w:hAnsi="Arial" w:cs="Arial"/>
        </w:rPr>
        <w:t xml:space="preserve"> </w:t>
      </w:r>
      <w:r w:rsidR="0095390C">
        <w:rPr>
          <w:rFonts w:ascii="Arial" w:hAnsi="Arial" w:cs="Arial"/>
        </w:rPr>
        <w:t xml:space="preserve">fördert </w:t>
      </w:r>
      <w:r w:rsidR="00FD0A36" w:rsidRPr="0095390C">
        <w:rPr>
          <w:rFonts w:ascii="Arial" w:hAnsi="Arial" w:cs="Arial"/>
        </w:rPr>
        <w:t xml:space="preserve">den störungsfreien </w:t>
      </w:r>
      <w:r w:rsidR="009A71FA">
        <w:rPr>
          <w:rFonts w:ascii="Arial" w:hAnsi="Arial" w:cs="Arial"/>
        </w:rPr>
        <w:t>Arbeitsablauf</w:t>
      </w:r>
      <w:r w:rsidR="00FD0A36">
        <w:rPr>
          <w:rFonts w:ascii="Arial" w:hAnsi="Arial" w:cs="Arial"/>
        </w:rPr>
        <w:t xml:space="preserve"> und die Produktqualität </w:t>
      </w:r>
      <w:r w:rsidR="00FD0A36" w:rsidRPr="0095390C">
        <w:rPr>
          <w:rFonts w:ascii="Arial" w:hAnsi="Arial" w:cs="Arial"/>
        </w:rPr>
        <w:t>und damit auch die Wettbewerbsfähigkeit des Betriebs,</w:t>
      </w:r>
    </w:p>
    <w:p w:rsidR="008E1BFE" w:rsidRDefault="000D6283" w:rsidP="006B11F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GDA-ORGA</w:t>
      </w:r>
      <w:r w:rsidR="006B11F4" w:rsidRPr="006B11F4">
        <w:rPr>
          <w:rFonts w:ascii="Arial" w:hAnsi="Arial" w:cs="Arial"/>
        </w:rPr>
        <w:t xml:space="preserve">check bereitet </w:t>
      </w:r>
      <w:r>
        <w:rPr>
          <w:rFonts w:ascii="Arial" w:hAnsi="Arial" w:cs="Arial"/>
        </w:rPr>
        <w:t xml:space="preserve">die zentralen Organisationsaufgaben </w:t>
      </w:r>
      <w:r w:rsidR="006B11F4" w:rsidRPr="006B11F4">
        <w:rPr>
          <w:rFonts w:ascii="Arial" w:hAnsi="Arial" w:cs="Arial"/>
        </w:rPr>
        <w:t>des Arbeitsschutzes für d</w:t>
      </w:r>
      <w:r>
        <w:rPr>
          <w:rFonts w:ascii="Arial" w:hAnsi="Arial" w:cs="Arial"/>
        </w:rPr>
        <w:t xml:space="preserve">ie Umsetzung im Betrieb kompakt </w:t>
      </w:r>
      <w:r w:rsidR="006B11F4" w:rsidRPr="006B11F4">
        <w:rPr>
          <w:rFonts w:ascii="Arial" w:hAnsi="Arial" w:cs="Arial"/>
        </w:rPr>
        <w:t>und leicht verständlich au</w:t>
      </w:r>
      <w:r>
        <w:rPr>
          <w:rFonts w:ascii="Arial" w:hAnsi="Arial" w:cs="Arial"/>
        </w:rPr>
        <w:t xml:space="preserve">f. </w:t>
      </w:r>
      <w:r w:rsidR="009A71FA">
        <w:rPr>
          <w:rFonts w:ascii="Arial" w:hAnsi="Arial" w:cs="Arial"/>
        </w:rPr>
        <w:t xml:space="preserve">Themen sind unter anderem: </w:t>
      </w:r>
      <w:r w:rsidR="009A71FA" w:rsidRPr="009A71FA">
        <w:rPr>
          <w:rFonts w:ascii="Arial" w:hAnsi="Arial" w:cs="Arial"/>
        </w:rPr>
        <w:t>Verantwortung und Aufgabenübertragung, Kontrol</w:t>
      </w:r>
      <w:r w:rsidR="003C6D41">
        <w:rPr>
          <w:rFonts w:ascii="Arial" w:hAnsi="Arial" w:cs="Arial"/>
        </w:rPr>
        <w:t>le der Arbeitsschutzmaßnahmen, b</w:t>
      </w:r>
      <w:r w:rsidR="009A71FA" w:rsidRPr="009A71FA">
        <w:rPr>
          <w:rFonts w:ascii="Arial" w:hAnsi="Arial" w:cs="Arial"/>
        </w:rPr>
        <w:t>etriebsärztliche und sicherheitstechnische Betreuung, Kompetenzen für den Arbeitsschutz, Gefährdungsbeurteilung oder Unterweisung der Beschäftigte</w:t>
      </w:r>
      <w:r w:rsidR="003C6D41">
        <w:rPr>
          <w:rFonts w:ascii="Arial" w:hAnsi="Arial" w:cs="Arial"/>
        </w:rPr>
        <w:t>n</w:t>
      </w:r>
      <w:r w:rsidR="009A71FA">
        <w:rPr>
          <w:rFonts w:ascii="Arial" w:hAnsi="Arial" w:cs="Arial"/>
        </w:rPr>
        <w:t xml:space="preserve">. </w:t>
      </w:r>
    </w:p>
    <w:p w:rsidR="008E1BFE" w:rsidRPr="008E1BFE" w:rsidRDefault="008E1BFE" w:rsidP="006B11F4">
      <w:pPr>
        <w:spacing w:after="120" w:line="240" w:lineRule="auto"/>
        <w:rPr>
          <w:rFonts w:ascii="Arial" w:hAnsi="Arial" w:cs="Arial"/>
          <w:b/>
        </w:rPr>
      </w:pPr>
      <w:r w:rsidRPr="008E1BFE">
        <w:rPr>
          <w:rFonts w:ascii="Arial" w:hAnsi="Arial" w:cs="Arial"/>
          <w:b/>
        </w:rPr>
        <w:t>Kurz</w:t>
      </w:r>
      <w:r>
        <w:rPr>
          <w:rFonts w:ascii="Arial" w:hAnsi="Arial" w:cs="Arial"/>
          <w:b/>
        </w:rPr>
        <w:t>, präzise</w:t>
      </w:r>
      <w:r w:rsidRPr="008E1BFE">
        <w:rPr>
          <w:rFonts w:ascii="Arial" w:hAnsi="Arial" w:cs="Arial"/>
          <w:b/>
        </w:rPr>
        <w:t xml:space="preserve"> und praxisorientiert</w:t>
      </w:r>
    </w:p>
    <w:p w:rsidR="006B11F4" w:rsidRDefault="008E1BFE" w:rsidP="008E1BFE">
      <w:pPr>
        <w:spacing w:after="120" w:line="240" w:lineRule="auto"/>
        <w:rPr>
          <w:rFonts w:ascii="Arial" w:hAnsi="Arial" w:cs="Arial"/>
        </w:rPr>
      </w:pPr>
      <w:r w:rsidRPr="008E1BFE">
        <w:rPr>
          <w:rFonts w:ascii="Arial" w:hAnsi="Arial" w:cs="Arial"/>
        </w:rPr>
        <w:t xml:space="preserve">Es wurde bewusst darauf geachtet, die einzelnen Themen kurz und auf das Wesentliche beschränkt darzustellen. Zu jedem Thema sind deshalb nur zwei bis </w:t>
      </w:r>
      <w:r>
        <w:rPr>
          <w:rFonts w:ascii="Arial" w:hAnsi="Arial" w:cs="Arial"/>
        </w:rPr>
        <w:t xml:space="preserve">maximal fünf Fragen formuliert. </w:t>
      </w:r>
      <w:r w:rsidR="009A71FA">
        <w:rPr>
          <w:rFonts w:ascii="Arial" w:hAnsi="Arial" w:cs="Arial"/>
        </w:rPr>
        <w:t>Mit dem Check</w:t>
      </w:r>
      <w:r w:rsidR="000D6283">
        <w:rPr>
          <w:rFonts w:ascii="Arial" w:hAnsi="Arial" w:cs="Arial"/>
        </w:rPr>
        <w:t xml:space="preserve"> steht nun insbesondere </w:t>
      </w:r>
      <w:r w:rsidR="006B11F4" w:rsidRPr="006B11F4">
        <w:rPr>
          <w:rFonts w:ascii="Arial" w:hAnsi="Arial" w:cs="Arial"/>
        </w:rPr>
        <w:t>kleinen und mi</w:t>
      </w:r>
      <w:r w:rsidR="000D6283">
        <w:rPr>
          <w:rFonts w:ascii="Arial" w:hAnsi="Arial" w:cs="Arial"/>
        </w:rPr>
        <w:t xml:space="preserve">ttelständischen Unternehmen ein </w:t>
      </w:r>
      <w:r w:rsidR="006B11F4" w:rsidRPr="006B11F4">
        <w:rPr>
          <w:rFonts w:ascii="Arial" w:hAnsi="Arial" w:cs="Arial"/>
        </w:rPr>
        <w:t xml:space="preserve">Werkzeug zur Verfügung, </w:t>
      </w:r>
      <w:r w:rsidR="000D6283">
        <w:rPr>
          <w:rFonts w:ascii="Arial" w:hAnsi="Arial" w:cs="Arial"/>
        </w:rPr>
        <w:t xml:space="preserve">um Arbeitsschutz mit Methode zu </w:t>
      </w:r>
      <w:r w:rsidR="006B11F4" w:rsidRPr="006B11F4">
        <w:rPr>
          <w:rFonts w:ascii="Arial" w:hAnsi="Arial" w:cs="Arial"/>
        </w:rPr>
        <w:t xml:space="preserve">betreiben. </w:t>
      </w:r>
    </w:p>
    <w:p w:rsidR="009A71FA" w:rsidRDefault="009A71FA" w:rsidP="006B11F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Das Besondere des</w:t>
      </w:r>
      <w:r w:rsidRPr="009A71FA">
        <w:rPr>
          <w:rFonts w:ascii="Arial" w:hAnsi="Arial" w:cs="Arial"/>
        </w:rPr>
        <w:t xml:space="preserve"> GDA-ORGAcheck </w:t>
      </w:r>
      <w:r>
        <w:rPr>
          <w:rFonts w:ascii="Arial" w:hAnsi="Arial" w:cs="Arial"/>
        </w:rPr>
        <w:t>liegt darin, dass er</w:t>
      </w:r>
      <w:r w:rsidRPr="009A71FA">
        <w:rPr>
          <w:rFonts w:ascii="Arial" w:hAnsi="Arial" w:cs="Arial"/>
        </w:rPr>
        <w:t xml:space="preserve"> das erste gemeinsame Instrument von Bund, Ländern, Unfallversicherungsträgern, Sozialpartnern und Fachverbänden zum Thema Arbeitsschutzorganisation</w:t>
      </w:r>
      <w:r>
        <w:rPr>
          <w:rFonts w:ascii="Arial" w:hAnsi="Arial" w:cs="Arial"/>
        </w:rPr>
        <w:t xml:space="preserve"> ist</w:t>
      </w:r>
      <w:r w:rsidRPr="009A71FA">
        <w:rPr>
          <w:rFonts w:ascii="Arial" w:hAnsi="Arial" w:cs="Arial"/>
        </w:rPr>
        <w:t>. Er beschreibt damit die gemeinsamen Qualitätsvorstellungen z</w:t>
      </w:r>
      <w:r>
        <w:rPr>
          <w:rFonts w:ascii="Arial" w:hAnsi="Arial" w:cs="Arial"/>
        </w:rPr>
        <w:t xml:space="preserve">um Arbeitsschutz </w:t>
      </w:r>
      <w:r w:rsidR="00077B72">
        <w:rPr>
          <w:rFonts w:ascii="Arial" w:hAnsi="Arial" w:cs="Arial"/>
        </w:rPr>
        <w:t>als konkretes</w:t>
      </w:r>
      <w:r>
        <w:rPr>
          <w:rFonts w:ascii="Arial" w:hAnsi="Arial" w:cs="Arial"/>
        </w:rPr>
        <w:t xml:space="preserve"> I</w:t>
      </w:r>
      <w:r w:rsidRPr="009A71FA">
        <w:rPr>
          <w:rFonts w:ascii="Arial" w:hAnsi="Arial" w:cs="Arial"/>
        </w:rPr>
        <w:t>n</w:t>
      </w:r>
      <w:r>
        <w:rPr>
          <w:rFonts w:ascii="Arial" w:hAnsi="Arial" w:cs="Arial"/>
        </w:rPr>
        <w:t>s</w:t>
      </w:r>
      <w:r w:rsidR="00C27A93">
        <w:rPr>
          <w:rFonts w:ascii="Arial" w:hAnsi="Arial" w:cs="Arial"/>
        </w:rPr>
        <w:t>trument</w:t>
      </w:r>
      <w:r w:rsidRPr="009A71FA">
        <w:rPr>
          <w:rFonts w:ascii="Arial" w:hAnsi="Arial" w:cs="Arial"/>
        </w:rPr>
        <w:t xml:space="preserve"> für </w:t>
      </w:r>
      <w:r w:rsidR="003C6D41">
        <w:rPr>
          <w:rFonts w:ascii="Arial" w:hAnsi="Arial" w:cs="Arial"/>
        </w:rPr>
        <w:t>kleine und mittelständische</w:t>
      </w:r>
      <w:r w:rsidRPr="009A71FA">
        <w:rPr>
          <w:rFonts w:ascii="Arial" w:hAnsi="Arial" w:cs="Arial"/>
        </w:rPr>
        <w:t xml:space="preserve"> Unternehmen.</w:t>
      </w:r>
    </w:p>
    <w:p w:rsidR="008E1BFE" w:rsidRPr="008E1BFE" w:rsidRDefault="008E1BFE" w:rsidP="006B11F4">
      <w:pPr>
        <w:spacing w:after="120" w:line="240" w:lineRule="auto"/>
        <w:rPr>
          <w:rFonts w:ascii="Arial" w:hAnsi="Arial" w:cs="Arial"/>
          <w:b/>
        </w:rPr>
      </w:pPr>
      <w:r w:rsidRPr="008E1BFE">
        <w:rPr>
          <w:rFonts w:ascii="Arial" w:hAnsi="Arial" w:cs="Arial"/>
          <w:b/>
        </w:rPr>
        <w:t>Betriebsbesichtigungen durch GDA-Träger</w:t>
      </w:r>
    </w:p>
    <w:p w:rsidR="006B11F4" w:rsidRDefault="006B11F4" w:rsidP="006B11F4">
      <w:pPr>
        <w:spacing w:after="120" w:line="240" w:lineRule="auto"/>
        <w:rPr>
          <w:rFonts w:ascii="Arial" w:hAnsi="Arial" w:cs="Arial"/>
        </w:rPr>
      </w:pPr>
      <w:r w:rsidRPr="006B11F4">
        <w:rPr>
          <w:rFonts w:ascii="Arial" w:hAnsi="Arial" w:cs="Arial"/>
        </w:rPr>
        <w:t>Der Check ist Teil des GDA</w:t>
      </w:r>
      <w:r w:rsidR="000D6283">
        <w:rPr>
          <w:rFonts w:ascii="Arial" w:hAnsi="Arial" w:cs="Arial"/>
        </w:rPr>
        <w:t xml:space="preserve">-Arbeitsprogramms „Verbesserung </w:t>
      </w:r>
      <w:r w:rsidRPr="006B11F4">
        <w:rPr>
          <w:rFonts w:ascii="Arial" w:hAnsi="Arial" w:cs="Arial"/>
        </w:rPr>
        <w:t xml:space="preserve">der Organisation des </w:t>
      </w:r>
      <w:r w:rsidR="0095390C">
        <w:rPr>
          <w:rFonts w:ascii="Arial" w:hAnsi="Arial" w:cs="Arial"/>
        </w:rPr>
        <w:t xml:space="preserve">betrieblichen Arbeitsschutzes“. </w:t>
      </w:r>
      <w:r w:rsidR="003C6D41">
        <w:rPr>
          <w:rFonts w:ascii="Arial" w:hAnsi="Arial" w:cs="Arial"/>
        </w:rPr>
        <w:t>Ein weiterer Bestandteil dieses Programms</w:t>
      </w:r>
      <w:r w:rsidRPr="006B11F4">
        <w:rPr>
          <w:rFonts w:ascii="Arial" w:hAnsi="Arial" w:cs="Arial"/>
        </w:rPr>
        <w:t xml:space="preserve"> </w:t>
      </w:r>
      <w:r w:rsidR="003C6D41">
        <w:rPr>
          <w:rFonts w:ascii="Arial" w:hAnsi="Arial" w:cs="Arial"/>
        </w:rPr>
        <w:t xml:space="preserve">sind </w:t>
      </w:r>
      <w:r w:rsidRPr="006B11F4">
        <w:rPr>
          <w:rFonts w:ascii="Arial" w:hAnsi="Arial" w:cs="Arial"/>
        </w:rPr>
        <w:t>Betriebsbesichtigun</w:t>
      </w:r>
      <w:r w:rsidR="0095390C">
        <w:rPr>
          <w:rFonts w:ascii="Arial" w:hAnsi="Arial" w:cs="Arial"/>
        </w:rPr>
        <w:t xml:space="preserve">gen durch das Aufsichtspersonal </w:t>
      </w:r>
      <w:r w:rsidRPr="006B11F4">
        <w:rPr>
          <w:rFonts w:ascii="Arial" w:hAnsi="Arial" w:cs="Arial"/>
        </w:rPr>
        <w:t>der Landesbehörde</w:t>
      </w:r>
      <w:r w:rsidR="0095390C">
        <w:rPr>
          <w:rFonts w:ascii="Arial" w:hAnsi="Arial" w:cs="Arial"/>
        </w:rPr>
        <w:t>n und Unfallversicherungsträger</w:t>
      </w:r>
      <w:r w:rsidRPr="006B11F4">
        <w:rPr>
          <w:rFonts w:ascii="Arial" w:hAnsi="Arial" w:cs="Arial"/>
        </w:rPr>
        <w:t xml:space="preserve">. Dabei </w:t>
      </w:r>
      <w:r w:rsidR="00505A51">
        <w:rPr>
          <w:rFonts w:ascii="Arial" w:hAnsi="Arial" w:cs="Arial"/>
        </w:rPr>
        <w:t>werden</w:t>
      </w:r>
      <w:r w:rsidRPr="006B11F4">
        <w:rPr>
          <w:rFonts w:ascii="Arial" w:hAnsi="Arial" w:cs="Arial"/>
        </w:rPr>
        <w:t xml:space="preserve"> der Sta</w:t>
      </w:r>
      <w:r w:rsidR="0095390C">
        <w:rPr>
          <w:rFonts w:ascii="Arial" w:hAnsi="Arial" w:cs="Arial"/>
        </w:rPr>
        <w:t xml:space="preserve">nd der betrieblichen </w:t>
      </w:r>
      <w:r w:rsidRPr="006B11F4">
        <w:rPr>
          <w:rFonts w:ascii="Arial" w:hAnsi="Arial" w:cs="Arial"/>
        </w:rPr>
        <w:lastRenderedPageBreak/>
        <w:t>Arbeitsschutzorganisation</w:t>
      </w:r>
      <w:r w:rsidR="0095390C">
        <w:rPr>
          <w:rFonts w:ascii="Arial" w:hAnsi="Arial" w:cs="Arial"/>
        </w:rPr>
        <w:t xml:space="preserve"> und der Gefährdungsbeurteilung </w:t>
      </w:r>
      <w:r w:rsidRPr="006B11F4">
        <w:rPr>
          <w:rFonts w:ascii="Arial" w:hAnsi="Arial" w:cs="Arial"/>
        </w:rPr>
        <w:t>überprüft un</w:t>
      </w:r>
      <w:r w:rsidR="0095390C">
        <w:rPr>
          <w:rFonts w:ascii="Arial" w:hAnsi="Arial" w:cs="Arial"/>
        </w:rPr>
        <w:t>d Tipps zur Optimierung gegeben</w:t>
      </w:r>
      <w:r w:rsidRPr="006B11F4">
        <w:rPr>
          <w:rFonts w:ascii="Arial" w:hAnsi="Arial" w:cs="Arial"/>
        </w:rPr>
        <w:t xml:space="preserve">. Durch den </w:t>
      </w:r>
      <w:r w:rsidR="00C27A93">
        <w:rPr>
          <w:rFonts w:ascii="Arial" w:hAnsi="Arial" w:cs="Arial"/>
        </w:rPr>
        <w:t>GDA-ORGA</w:t>
      </w:r>
      <w:r w:rsidR="0095390C">
        <w:rPr>
          <w:rFonts w:ascii="Arial" w:hAnsi="Arial" w:cs="Arial"/>
        </w:rPr>
        <w:t xml:space="preserve">check sind die Betriebe </w:t>
      </w:r>
      <w:r w:rsidRPr="006B11F4">
        <w:rPr>
          <w:rFonts w:ascii="Arial" w:hAnsi="Arial" w:cs="Arial"/>
        </w:rPr>
        <w:t>gut darauf vorbereitet.</w:t>
      </w:r>
    </w:p>
    <w:p w:rsidR="0095390C" w:rsidRPr="0095390C" w:rsidRDefault="0095390C" w:rsidP="0095390C">
      <w:pPr>
        <w:spacing w:after="120" w:line="240" w:lineRule="auto"/>
        <w:rPr>
          <w:rFonts w:ascii="Arial" w:hAnsi="Arial" w:cs="Arial"/>
          <w:b/>
        </w:rPr>
      </w:pPr>
      <w:r w:rsidRPr="0095390C">
        <w:rPr>
          <w:rFonts w:ascii="Arial" w:hAnsi="Arial" w:cs="Arial"/>
          <w:b/>
        </w:rPr>
        <w:t>Was ist der Nutzen des GDA-ORGAchecks?</w:t>
      </w:r>
    </w:p>
    <w:p w:rsidR="0095390C" w:rsidRPr="0095390C" w:rsidRDefault="0095390C" w:rsidP="0095390C">
      <w:pPr>
        <w:spacing w:after="120" w:line="240" w:lineRule="auto"/>
        <w:rPr>
          <w:rFonts w:ascii="Arial" w:hAnsi="Arial" w:cs="Arial"/>
        </w:rPr>
      </w:pPr>
      <w:r w:rsidRPr="0095390C">
        <w:rPr>
          <w:rFonts w:ascii="Arial" w:hAnsi="Arial" w:cs="Arial"/>
        </w:rPr>
        <w:t xml:space="preserve">Der GDA-ORGAcheck </w:t>
      </w:r>
      <w:r w:rsidR="00C27A93">
        <w:rPr>
          <w:rFonts w:ascii="Arial" w:hAnsi="Arial" w:cs="Arial"/>
        </w:rPr>
        <w:t>hat einen v</w:t>
      </w:r>
      <w:r>
        <w:rPr>
          <w:rFonts w:ascii="Arial" w:hAnsi="Arial" w:cs="Arial"/>
        </w:rPr>
        <w:t>ielfachen Nutzen für die Unternehmen:</w:t>
      </w:r>
    </w:p>
    <w:p w:rsidR="0095390C" w:rsidRPr="00FD0A36" w:rsidRDefault="0095390C" w:rsidP="00FD0A36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D0A36">
        <w:rPr>
          <w:rFonts w:ascii="Arial" w:hAnsi="Arial" w:cs="Arial"/>
        </w:rPr>
        <w:t>Er ist ein Selbstbewertungsinstrument für kleine und mittlere Unternehmen zur Prüfung und Verbesserung der Qualitä</w:t>
      </w:r>
      <w:r w:rsidR="00C27A93">
        <w:rPr>
          <w:rFonts w:ascii="Arial" w:hAnsi="Arial" w:cs="Arial"/>
        </w:rPr>
        <w:t>t der Arbeitsschutzorganisation.</w:t>
      </w:r>
    </w:p>
    <w:p w:rsidR="0095390C" w:rsidRPr="00FD0A36" w:rsidRDefault="00FD0A36" w:rsidP="00FD0A36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D0A36">
        <w:rPr>
          <w:rFonts w:ascii="Arial" w:hAnsi="Arial" w:cs="Arial"/>
        </w:rPr>
        <w:t>Er</w:t>
      </w:r>
      <w:r w:rsidR="0095390C" w:rsidRPr="00FD0A36">
        <w:rPr>
          <w:rFonts w:ascii="Arial" w:hAnsi="Arial" w:cs="Arial"/>
        </w:rPr>
        <w:t xml:space="preserve"> unterstützt bei der systematischen Durchfüh</w:t>
      </w:r>
      <w:r w:rsidR="00C27A93">
        <w:rPr>
          <w:rFonts w:ascii="Arial" w:hAnsi="Arial" w:cs="Arial"/>
        </w:rPr>
        <w:t>rung der Gefährdungsbeurteilung.</w:t>
      </w:r>
    </w:p>
    <w:p w:rsidR="0095390C" w:rsidRPr="00FD0A36" w:rsidRDefault="00FD0A36" w:rsidP="00FD0A36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D0A36">
        <w:rPr>
          <w:rFonts w:ascii="Arial" w:hAnsi="Arial" w:cs="Arial"/>
        </w:rPr>
        <w:t>Er</w:t>
      </w:r>
      <w:r w:rsidR="0095390C" w:rsidRPr="00FD0A36">
        <w:rPr>
          <w:rFonts w:ascii="Arial" w:hAnsi="Arial" w:cs="Arial"/>
        </w:rPr>
        <w:t xml:space="preserve"> kann von grö</w:t>
      </w:r>
      <w:r w:rsidRPr="00FD0A36">
        <w:rPr>
          <w:rFonts w:ascii="Arial" w:hAnsi="Arial" w:cs="Arial"/>
        </w:rPr>
        <w:t xml:space="preserve">ßeren Unternehmen zur Bewertung </w:t>
      </w:r>
      <w:r w:rsidR="0095390C" w:rsidRPr="00FD0A36">
        <w:rPr>
          <w:rFonts w:ascii="Arial" w:hAnsi="Arial" w:cs="Arial"/>
        </w:rPr>
        <w:t>ihrer Lieferanten, Partnerfir</w:t>
      </w:r>
      <w:r w:rsidRPr="00FD0A36">
        <w:rPr>
          <w:rFonts w:ascii="Arial" w:hAnsi="Arial" w:cs="Arial"/>
        </w:rPr>
        <w:t xml:space="preserve">men und Kontraktoren eingesetzt </w:t>
      </w:r>
      <w:r w:rsidR="00C27A93">
        <w:rPr>
          <w:rFonts w:ascii="Arial" w:hAnsi="Arial" w:cs="Arial"/>
        </w:rPr>
        <w:t>werden.</w:t>
      </w:r>
    </w:p>
    <w:p w:rsidR="0095390C" w:rsidRPr="00FD0A36" w:rsidRDefault="00FD0A36" w:rsidP="00FD0A36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D0A36">
        <w:rPr>
          <w:rFonts w:ascii="Arial" w:hAnsi="Arial" w:cs="Arial"/>
        </w:rPr>
        <w:t>Er</w:t>
      </w:r>
      <w:r w:rsidR="0095390C" w:rsidRPr="00FD0A36">
        <w:rPr>
          <w:rFonts w:ascii="Arial" w:hAnsi="Arial" w:cs="Arial"/>
        </w:rPr>
        <w:t xml:space="preserve"> ist eine gute Vorbereitung für die Betriebsaktion des GDA</w:t>
      </w:r>
      <w:r w:rsidRPr="00FD0A36">
        <w:rPr>
          <w:rFonts w:ascii="Arial" w:hAnsi="Arial" w:cs="Arial"/>
        </w:rPr>
        <w:t xml:space="preserve">-Arbeitsprogramms </w:t>
      </w:r>
      <w:r w:rsidR="0095390C" w:rsidRPr="00FD0A36">
        <w:rPr>
          <w:rFonts w:ascii="Arial" w:hAnsi="Arial" w:cs="Arial"/>
        </w:rPr>
        <w:t xml:space="preserve">„Verbesserung der </w:t>
      </w:r>
      <w:r w:rsidRPr="00FD0A36">
        <w:rPr>
          <w:rFonts w:ascii="Arial" w:hAnsi="Arial" w:cs="Arial"/>
        </w:rPr>
        <w:t xml:space="preserve">Organisation des </w:t>
      </w:r>
      <w:r w:rsidR="00C27A93">
        <w:rPr>
          <w:rFonts w:ascii="Arial" w:hAnsi="Arial" w:cs="Arial"/>
        </w:rPr>
        <w:t>betrieblichen Arbeitsschutzes“.</w:t>
      </w:r>
    </w:p>
    <w:p w:rsidR="0095390C" w:rsidRPr="00FD0A36" w:rsidRDefault="00FD0A36" w:rsidP="00FD0A36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D0A36">
        <w:rPr>
          <w:rFonts w:ascii="Arial" w:hAnsi="Arial" w:cs="Arial"/>
        </w:rPr>
        <w:t>Er</w:t>
      </w:r>
      <w:r w:rsidR="0095390C" w:rsidRPr="00FD0A36">
        <w:rPr>
          <w:rFonts w:ascii="Arial" w:hAnsi="Arial" w:cs="Arial"/>
        </w:rPr>
        <w:t xml:space="preserve"> ist der erste Schritt zur Einführung eines Arbeitsschutzmanagementsy</w:t>
      </w:r>
      <w:r w:rsidR="00C27A93">
        <w:rPr>
          <w:rFonts w:ascii="Arial" w:hAnsi="Arial" w:cs="Arial"/>
        </w:rPr>
        <w:t>stems.</w:t>
      </w:r>
    </w:p>
    <w:p w:rsidR="00FD0A36" w:rsidRDefault="00FD0A36" w:rsidP="0095390C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D0A36">
        <w:rPr>
          <w:rFonts w:ascii="Arial" w:hAnsi="Arial" w:cs="Arial"/>
        </w:rPr>
        <w:t>Er</w:t>
      </w:r>
      <w:r w:rsidR="0095390C" w:rsidRPr="00FD0A36">
        <w:rPr>
          <w:rFonts w:ascii="Arial" w:hAnsi="Arial" w:cs="Arial"/>
        </w:rPr>
        <w:t xml:space="preserve"> ermöglicht als Online-Tool den Vergleich mit anderen teilnehmenden</w:t>
      </w:r>
      <w:r>
        <w:rPr>
          <w:rFonts w:ascii="Arial" w:hAnsi="Arial" w:cs="Arial"/>
        </w:rPr>
        <w:t xml:space="preserve"> </w:t>
      </w:r>
      <w:r w:rsidR="0095390C" w:rsidRPr="00FD0A36">
        <w:rPr>
          <w:rFonts w:ascii="Arial" w:hAnsi="Arial" w:cs="Arial"/>
        </w:rPr>
        <w:t xml:space="preserve">Unternehmen (Benchmark). </w:t>
      </w:r>
    </w:p>
    <w:p w:rsidR="00C27A93" w:rsidRPr="00FD0A36" w:rsidRDefault="00C27A93" w:rsidP="00C27A93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FD0A36">
        <w:rPr>
          <w:rFonts w:ascii="Arial" w:hAnsi="Arial" w:cs="Arial"/>
        </w:rPr>
        <w:t>Er hilft unfall- oder störu</w:t>
      </w:r>
      <w:r>
        <w:rPr>
          <w:rFonts w:ascii="Arial" w:hAnsi="Arial" w:cs="Arial"/>
        </w:rPr>
        <w:t>ngsbedingte Kosten zu vermeiden.</w:t>
      </w:r>
    </w:p>
    <w:p w:rsidR="006B11F4" w:rsidRDefault="008E1BFE" w:rsidP="006B11F4">
      <w:pPr>
        <w:spacing w:after="120" w:line="240" w:lineRule="auto"/>
        <w:rPr>
          <w:rFonts w:ascii="Arial" w:hAnsi="Arial" w:cs="Arial"/>
        </w:rPr>
      </w:pPr>
      <w:r w:rsidRPr="008E1BFE">
        <w:rPr>
          <w:rFonts w:ascii="Arial" w:hAnsi="Arial" w:cs="Arial"/>
        </w:rPr>
        <w:t xml:space="preserve">Den GDA-ORGAcheck gibt es als Broschüre und als interaktiv bearbeitbare Online-Version unter </w:t>
      </w:r>
      <w:hyperlink r:id="rId9" w:history="1">
        <w:r w:rsidRPr="008E1BFE">
          <w:rPr>
            <w:rStyle w:val="Hyperlink"/>
            <w:rFonts w:ascii="Arial" w:hAnsi="Arial" w:cs="Arial"/>
          </w:rPr>
          <w:t>www.gda-orgacheck.de</w:t>
        </w:r>
      </w:hyperlink>
      <w:r w:rsidRPr="008E1BFE">
        <w:rPr>
          <w:rFonts w:ascii="Arial" w:hAnsi="Arial" w:cs="Arial"/>
        </w:rPr>
        <w:t xml:space="preserve">. Im Internet sind neben einem Benchmark auch zusätzliche Informationen, Vorschläge zu Maßnahmen und Praxishilfen zu finden. Es gibt auch mobile Varianten für I-Phone oder I-Pad und Android. </w:t>
      </w:r>
    </w:p>
    <w:p w:rsidR="008E1BFE" w:rsidRDefault="008E1BFE" w:rsidP="006B11F4">
      <w:pPr>
        <w:spacing w:after="120" w:line="240" w:lineRule="auto"/>
        <w:rPr>
          <w:rFonts w:ascii="Arial" w:hAnsi="Arial" w:cs="Arial"/>
        </w:rPr>
      </w:pPr>
    </w:p>
    <w:p w:rsidR="00617EF5" w:rsidRPr="00964387" w:rsidRDefault="00617EF5" w:rsidP="00617EF5">
      <w:pPr>
        <w:widowControl w:val="0"/>
        <w:shd w:val="clear" w:color="auto" w:fill="D9D9D9" w:themeFill="background1" w:themeFillShade="D9"/>
        <w:spacing w:before="120" w:after="0" w:line="240" w:lineRule="auto"/>
        <w:jc w:val="both"/>
        <w:rPr>
          <w:rFonts w:ascii="Arial" w:hAnsi="Arial" w:cs="Arial"/>
          <w:b/>
        </w:rPr>
      </w:pPr>
      <w:r w:rsidRPr="00964387">
        <w:rPr>
          <w:rFonts w:ascii="Arial" w:hAnsi="Arial" w:cs="Arial"/>
          <w:b/>
        </w:rPr>
        <w:t xml:space="preserve">Die GDA </w:t>
      </w:r>
    </w:p>
    <w:p w:rsidR="00617EF5" w:rsidRPr="00964387" w:rsidRDefault="00617EF5" w:rsidP="00617EF5">
      <w:pPr>
        <w:widowControl w:val="0"/>
        <w:shd w:val="clear" w:color="auto" w:fill="D9D9D9" w:themeFill="background1" w:themeFillShade="D9"/>
        <w:spacing w:before="120" w:after="0" w:line="240" w:lineRule="auto"/>
        <w:jc w:val="both"/>
        <w:rPr>
          <w:rFonts w:ascii="Arial" w:hAnsi="Arial" w:cs="Arial"/>
        </w:rPr>
      </w:pPr>
      <w:r w:rsidRPr="00964387">
        <w:rPr>
          <w:rFonts w:ascii="Arial" w:hAnsi="Arial" w:cs="Arial"/>
        </w:rPr>
        <w:t xml:space="preserve">Die GDA ist eine auf Dauer angelegte konzertierte Aktion von Bund, Ländern und Unfallversicherungsträgern zur Stärkung von Sicherheit </w:t>
      </w:r>
      <w:r>
        <w:rPr>
          <w:rFonts w:ascii="Arial" w:hAnsi="Arial" w:cs="Arial"/>
        </w:rPr>
        <w:t xml:space="preserve">und Gesundheit am Arbeitsplatz (nach </w:t>
      </w:r>
      <w:r w:rsidRPr="00964387">
        <w:rPr>
          <w:rFonts w:ascii="Arial" w:hAnsi="Arial" w:cs="Arial"/>
        </w:rPr>
        <w:t xml:space="preserve">Arbeitsschutzgesetz </w:t>
      </w:r>
      <w:r>
        <w:rPr>
          <w:rFonts w:ascii="Arial" w:hAnsi="Arial" w:cs="Arial"/>
        </w:rPr>
        <w:t xml:space="preserve">und </w:t>
      </w:r>
      <w:r w:rsidRPr="00964387">
        <w:rPr>
          <w:rFonts w:ascii="Arial" w:hAnsi="Arial" w:cs="Arial"/>
        </w:rPr>
        <w:t xml:space="preserve">Sozialgesetzbuch </w:t>
      </w:r>
      <w:r>
        <w:rPr>
          <w:rFonts w:ascii="Arial" w:hAnsi="Arial" w:cs="Arial"/>
        </w:rPr>
        <w:t>VII).</w:t>
      </w:r>
    </w:p>
    <w:p w:rsidR="00617EF5" w:rsidRDefault="00617EF5" w:rsidP="00617EF5">
      <w:pPr>
        <w:widowControl w:val="0"/>
        <w:shd w:val="clear" w:color="auto" w:fill="D9D9D9" w:themeFill="background1" w:themeFillShade="D9"/>
        <w:spacing w:before="120" w:after="0" w:line="240" w:lineRule="auto"/>
        <w:jc w:val="both"/>
        <w:rPr>
          <w:rFonts w:ascii="Arial" w:hAnsi="Arial" w:cs="Arial"/>
        </w:rPr>
      </w:pPr>
      <w:r w:rsidRPr="00964387">
        <w:rPr>
          <w:rFonts w:ascii="Arial" w:hAnsi="Arial" w:cs="Arial"/>
        </w:rPr>
        <w:t>Ziel der GDA ist es, die bereits bestehenden Arbeitsschutzmaßnahmen einheitlich und transparent zu regeln und ihre Umsetzung am Arbeitsplatz nachhaltig voranzutreiben.</w:t>
      </w:r>
    </w:p>
    <w:p w:rsidR="00617EF5" w:rsidRDefault="00617EF5" w:rsidP="00617EF5">
      <w:pPr>
        <w:widowControl w:val="0"/>
        <w:shd w:val="clear" w:color="auto" w:fill="D9D9D9" w:themeFill="background1" w:themeFillShade="D9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Mehr Informatio</w:t>
      </w:r>
      <w:r w:rsidRPr="00964387">
        <w:rPr>
          <w:rFonts w:ascii="Arial" w:hAnsi="Arial" w:cs="Arial"/>
        </w:rPr>
        <w:t xml:space="preserve">nen: </w:t>
      </w:r>
      <w:hyperlink r:id="rId10" w:history="1">
        <w:r w:rsidRPr="003A39EF">
          <w:rPr>
            <w:rStyle w:val="Hyperlink"/>
            <w:rFonts w:ascii="Arial" w:hAnsi="Arial" w:cs="Arial"/>
          </w:rPr>
          <w:t>www.gda-portal.de</w:t>
        </w:r>
      </w:hyperlink>
    </w:p>
    <w:p w:rsidR="00617EF5" w:rsidRDefault="00617EF5" w:rsidP="006B11F4">
      <w:pPr>
        <w:spacing w:after="120" w:line="240" w:lineRule="auto"/>
        <w:rPr>
          <w:rFonts w:ascii="Arial" w:hAnsi="Arial" w:cs="Arial"/>
        </w:rPr>
      </w:pPr>
    </w:p>
    <w:p w:rsidR="00617EF5" w:rsidRDefault="00617EF5" w:rsidP="006B11F4">
      <w:pPr>
        <w:spacing w:after="120" w:line="240" w:lineRule="auto"/>
        <w:rPr>
          <w:rFonts w:ascii="Arial" w:hAnsi="Arial" w:cs="Arial"/>
        </w:rPr>
      </w:pPr>
    </w:p>
    <w:p w:rsidR="006B11F4" w:rsidRPr="00505A51" w:rsidRDefault="00505A51" w:rsidP="00336752">
      <w:pPr>
        <w:shd w:val="clear" w:color="auto" w:fill="D9D9D9" w:themeFill="background1" w:themeFillShade="D9"/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505A51">
        <w:rPr>
          <w:rFonts w:ascii="Arial" w:hAnsi="Arial" w:cs="Arial"/>
          <w:b/>
          <w:sz w:val="18"/>
          <w:szCs w:val="18"/>
        </w:rPr>
        <w:t xml:space="preserve">Ansprechpartner: </w:t>
      </w:r>
    </w:p>
    <w:p w:rsidR="00077B72" w:rsidRPr="00336752" w:rsidRDefault="00C27A93" w:rsidP="00336752">
      <w:pPr>
        <w:shd w:val="clear" w:color="auto" w:fill="D9D9D9" w:themeFill="background1" w:themeFillShade="D9"/>
        <w:spacing w:after="120" w:line="240" w:lineRule="auto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Leitung des GDA-Arbeitsprogramms Organisation</w:t>
      </w:r>
      <w:r w:rsidR="00505A51" w:rsidRPr="00505A51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c/o </w:t>
      </w:r>
      <w:r w:rsidR="00505A51" w:rsidRPr="00505A51">
        <w:rPr>
          <w:rFonts w:ascii="Arial" w:hAnsi="Arial" w:cs="Arial"/>
          <w:color w:val="000000"/>
          <w:sz w:val="18"/>
          <w:szCs w:val="18"/>
        </w:rPr>
        <w:t>Bayrisches St</w:t>
      </w:r>
      <w:r w:rsidR="00505A51">
        <w:rPr>
          <w:rFonts w:ascii="Arial" w:hAnsi="Arial" w:cs="Arial"/>
          <w:color w:val="000000"/>
          <w:sz w:val="18"/>
          <w:szCs w:val="18"/>
        </w:rPr>
        <w:t xml:space="preserve">aatsministerium für Arbeit und </w:t>
      </w:r>
      <w:r w:rsidR="00505A51" w:rsidRPr="00505A51">
        <w:rPr>
          <w:rFonts w:ascii="Arial" w:hAnsi="Arial" w:cs="Arial"/>
          <w:color w:val="000000"/>
          <w:sz w:val="18"/>
          <w:szCs w:val="18"/>
        </w:rPr>
        <w:t>Soziales, Familie und Integration</w:t>
      </w:r>
      <w:r w:rsidR="00505A51" w:rsidRPr="00505A51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80792</w:t>
      </w:r>
      <w:r w:rsidR="00505A51" w:rsidRPr="00505A51">
        <w:rPr>
          <w:rFonts w:ascii="Arial" w:hAnsi="Arial" w:cs="Arial"/>
          <w:color w:val="000000"/>
          <w:sz w:val="18"/>
          <w:szCs w:val="18"/>
        </w:rPr>
        <w:t xml:space="preserve"> München </w:t>
      </w:r>
      <w:r w:rsidR="00505A51" w:rsidRPr="00505A51">
        <w:rPr>
          <w:rFonts w:ascii="Arial" w:hAnsi="Arial" w:cs="Arial"/>
          <w:color w:val="000000"/>
          <w:sz w:val="18"/>
          <w:szCs w:val="18"/>
        </w:rPr>
        <w:br/>
      </w:r>
      <w:r w:rsidRPr="00505A51">
        <w:rPr>
          <w:rFonts w:ascii="Arial" w:hAnsi="Arial" w:cs="Arial"/>
          <w:color w:val="000000"/>
          <w:sz w:val="18"/>
          <w:szCs w:val="18"/>
        </w:rPr>
        <w:t xml:space="preserve">E-Mail: </w:t>
      </w:r>
      <w:r>
        <w:rPr>
          <w:rFonts w:ascii="Arial" w:hAnsi="Arial" w:cs="Arial"/>
          <w:color w:val="000000"/>
          <w:sz w:val="18"/>
          <w:szCs w:val="18"/>
        </w:rPr>
        <w:t>gda-orga@stmas.bayern.de</w:t>
      </w:r>
      <w:hyperlink r:id="rId11" w:history="1"/>
      <w:r w:rsidR="00336752">
        <w:rPr>
          <w:rFonts w:ascii="Arial" w:hAnsi="Arial" w:cs="Arial"/>
          <w:color w:val="000080"/>
          <w:sz w:val="18"/>
          <w:szCs w:val="18"/>
        </w:rPr>
        <w:br/>
      </w:r>
    </w:p>
    <w:p w:rsidR="00505A51" w:rsidRPr="006B11F4" w:rsidRDefault="00505A51" w:rsidP="00336752">
      <w:pPr>
        <w:spacing w:after="120" w:line="240" w:lineRule="auto"/>
        <w:rPr>
          <w:rFonts w:ascii="Arial" w:hAnsi="Arial" w:cs="Arial"/>
        </w:rPr>
      </w:pPr>
    </w:p>
    <w:p w:rsidR="006B11F4" w:rsidRPr="006B11F4" w:rsidRDefault="006B11F4" w:rsidP="00336752">
      <w:pPr>
        <w:spacing w:after="120" w:line="240" w:lineRule="auto"/>
        <w:rPr>
          <w:rFonts w:ascii="Arial" w:hAnsi="Arial" w:cs="Arial"/>
        </w:rPr>
      </w:pPr>
    </w:p>
    <w:sectPr w:rsidR="006B11F4" w:rsidRPr="006B11F4" w:rsidSect="00077B72">
      <w:headerReference w:type="default" r:id="rId12"/>
      <w:pgSz w:w="11906" w:h="16838" w:code="9"/>
      <w:pgMar w:top="2835" w:right="1843" w:bottom="1134" w:left="1559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15" w:rsidRDefault="00377C15" w:rsidP="006B11F4">
      <w:pPr>
        <w:spacing w:after="0" w:line="240" w:lineRule="auto"/>
      </w:pPr>
      <w:r>
        <w:separator/>
      </w:r>
    </w:p>
  </w:endnote>
  <w:endnote w:type="continuationSeparator" w:id="0">
    <w:p w:rsidR="00377C15" w:rsidRDefault="00377C15" w:rsidP="006B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15" w:rsidRDefault="00377C15" w:rsidP="006B11F4">
      <w:pPr>
        <w:spacing w:after="0" w:line="240" w:lineRule="auto"/>
      </w:pPr>
      <w:r>
        <w:separator/>
      </w:r>
    </w:p>
  </w:footnote>
  <w:footnote w:type="continuationSeparator" w:id="0">
    <w:p w:rsidR="00377C15" w:rsidRDefault="00377C15" w:rsidP="006B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:rsidR="003C6D41" w:rsidRDefault="003C6D41" w:rsidP="006A1C27"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lang w:eastAsia="de-DE"/>
          </w:rPr>
          <w:drawing>
            <wp:inline distT="0" distB="0" distL="0" distR="0" wp14:anchorId="46719D67" wp14:editId="0FB051BC">
              <wp:extent cx="2883408" cy="545592"/>
              <wp:effectExtent l="0" t="0" r="0" b="6985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DA_Logo_Arbeitsprogramm_Organisatio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3408" cy="545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6A1C27" w:rsidRPr="006A1C27" w:rsidRDefault="006A1C27" w:rsidP="006A1C27"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 w:rsidRPr="006A1C27">
          <w:rPr>
            <w:rFonts w:ascii="Arial" w:hAnsi="Arial" w:cs="Arial"/>
            <w:sz w:val="20"/>
            <w:szCs w:val="20"/>
          </w:rPr>
          <w:t>Presseerklärung_02.Juni.2014_</w:t>
        </w:r>
        <w:r w:rsidRPr="006A1C2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A1C27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6A1C2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D3549B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6A1C2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A1C27">
          <w:rPr>
            <w:rFonts w:ascii="Arial" w:hAnsi="Arial" w:cs="Arial"/>
            <w:sz w:val="20"/>
            <w:szCs w:val="20"/>
          </w:rPr>
          <w:t>/</w:t>
        </w:r>
        <w:r w:rsidRPr="006A1C2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A1C27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6A1C2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D3549B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6A1C2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F80"/>
    <w:multiLevelType w:val="hybridMultilevel"/>
    <w:tmpl w:val="68AE4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E0"/>
    <w:rsid w:val="00077B72"/>
    <w:rsid w:val="000D6283"/>
    <w:rsid w:val="000D63E0"/>
    <w:rsid w:val="001150A8"/>
    <w:rsid w:val="00141FE8"/>
    <w:rsid w:val="00273213"/>
    <w:rsid w:val="002C5073"/>
    <w:rsid w:val="00336752"/>
    <w:rsid w:val="00377C15"/>
    <w:rsid w:val="003C6D41"/>
    <w:rsid w:val="00505A51"/>
    <w:rsid w:val="0053765F"/>
    <w:rsid w:val="005A6CA2"/>
    <w:rsid w:val="005B4D6C"/>
    <w:rsid w:val="005D19AE"/>
    <w:rsid w:val="00617EF5"/>
    <w:rsid w:val="006A1C27"/>
    <w:rsid w:val="006B11F4"/>
    <w:rsid w:val="008E1BFE"/>
    <w:rsid w:val="0095390C"/>
    <w:rsid w:val="009A71FA"/>
    <w:rsid w:val="00C27A93"/>
    <w:rsid w:val="00D3549B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1F4"/>
  </w:style>
  <w:style w:type="paragraph" w:styleId="Fuzeile">
    <w:name w:val="footer"/>
    <w:basedOn w:val="Standard"/>
    <w:link w:val="FuzeileZchn"/>
    <w:uiPriority w:val="99"/>
    <w:unhideWhenUsed/>
    <w:rsid w:val="006B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1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1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0A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0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1F4"/>
  </w:style>
  <w:style w:type="paragraph" w:styleId="Fuzeile">
    <w:name w:val="footer"/>
    <w:basedOn w:val="Standard"/>
    <w:link w:val="FuzeileZchn"/>
    <w:uiPriority w:val="99"/>
    <w:unhideWhenUsed/>
    <w:rsid w:val="006B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1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1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0A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0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da-porta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a-orgacheck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Cernavin</dc:creator>
  <cp:lastModifiedBy>Oleg Cernavin</cp:lastModifiedBy>
  <cp:revision>8</cp:revision>
  <cp:lastPrinted>2014-05-27T15:38:00Z</cp:lastPrinted>
  <dcterms:created xsi:type="dcterms:W3CDTF">2014-05-21T08:00:00Z</dcterms:created>
  <dcterms:modified xsi:type="dcterms:W3CDTF">2014-05-27T15:39:00Z</dcterms:modified>
</cp:coreProperties>
</file>